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4D76" w14:textId="77777777" w:rsidR="00912DAC" w:rsidRDefault="00304ADC">
      <w:pPr>
        <w:pStyle w:val="LO-normal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14:paraId="55A19EED" w14:textId="77777777" w:rsidR="00912DAC" w:rsidRDefault="00304ADC">
      <w:pPr>
        <w:pStyle w:val="LO-normal"/>
      </w:pPr>
      <w:proofErr w:type="spellStart"/>
      <w:r>
        <w:t>Шумарска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</w:p>
    <w:p w14:paraId="345ADBFD" w14:textId="77777777" w:rsidR="00912DAC" w:rsidRDefault="00304ADC">
      <w:pPr>
        <w:pStyle w:val="LO-normal"/>
      </w:pPr>
      <w:proofErr w:type="spellStart"/>
      <w:r>
        <w:t>Краљево</w:t>
      </w:r>
      <w:proofErr w:type="spellEnd"/>
    </w:p>
    <w:p w14:paraId="1CB65659" w14:textId="77777777" w:rsidR="00912DAC" w:rsidRDefault="00304ADC">
      <w:pPr>
        <w:pStyle w:val="LO-normal"/>
      </w:pPr>
      <w:r>
        <w:tab/>
      </w:r>
      <w:r>
        <w:tab/>
      </w:r>
      <w:r>
        <w:tab/>
      </w:r>
      <w:r>
        <w:tab/>
      </w:r>
    </w:p>
    <w:p w14:paraId="1A1B5B38" w14:textId="77777777" w:rsidR="00912DAC" w:rsidRDefault="00304ADC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872061" w14:textId="77777777" w:rsidR="00912DAC" w:rsidRDefault="00304ADC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  <w:t>ОПЕРАТИВНИ (</w:t>
      </w:r>
      <w:proofErr w:type="spellStart"/>
      <w:r>
        <w:t>Март</w:t>
      </w:r>
      <w:proofErr w:type="spellEnd"/>
      <w:r>
        <w:t>) ПЛАН:</w:t>
      </w:r>
    </w:p>
    <w:p w14:paraId="28F1E316" w14:textId="77777777" w:rsidR="00912DAC" w:rsidRDefault="00912DAC">
      <w:pPr>
        <w:pStyle w:val="LO-normal"/>
      </w:pPr>
    </w:p>
    <w:p w14:paraId="62A17F28" w14:textId="77777777" w:rsidR="00912DAC" w:rsidRDefault="00304ADC">
      <w:pPr>
        <w:pStyle w:val="LO-normal"/>
        <w:jc w:val="both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Тема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бр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gramStart"/>
      <w:r>
        <w:rPr>
          <w:b/>
          <w:bCs/>
          <w:sz w:val="36"/>
          <w:szCs w:val="36"/>
        </w:rPr>
        <w:t>4 :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Где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је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Христос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ту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је</w:t>
      </w:r>
      <w:proofErr w:type="spellEnd"/>
      <w:r>
        <w:rPr>
          <w:b/>
          <w:bCs/>
          <w:sz w:val="36"/>
          <w:szCs w:val="36"/>
        </w:rPr>
        <w:t xml:space="preserve"> и </w:t>
      </w:r>
      <w:proofErr w:type="spellStart"/>
      <w:r>
        <w:rPr>
          <w:b/>
          <w:bCs/>
          <w:sz w:val="36"/>
          <w:szCs w:val="36"/>
        </w:rPr>
        <w:t>Царство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Божје</w:t>
      </w:r>
      <w:proofErr w:type="spellEnd"/>
    </w:p>
    <w:p w14:paraId="68981C43" w14:textId="77777777" w:rsidR="00912DAC" w:rsidRDefault="00304ADC">
      <w:pPr>
        <w:pStyle w:val="LO-normal"/>
        <w:jc w:val="both"/>
      </w:pPr>
      <w:r>
        <w:t xml:space="preserve">МЕСЕЦ РЕАЛИЗАЦИЈЕ: </w:t>
      </w:r>
      <w:proofErr w:type="spellStart"/>
      <w:r>
        <w:t>Март</w:t>
      </w:r>
      <w:proofErr w:type="spellEnd"/>
      <w:r>
        <w:t xml:space="preserve"> 2022/2023</w:t>
      </w:r>
    </w:p>
    <w:p w14:paraId="2E812469" w14:textId="77777777" w:rsidR="00912DAC" w:rsidRDefault="00304ADC">
      <w:pPr>
        <w:pStyle w:val="LO-normal"/>
        <w:jc w:val="both"/>
        <w:rPr>
          <w:b/>
          <w:bCs/>
        </w:rPr>
      </w:pPr>
      <w:proofErr w:type="spellStart"/>
      <w:r>
        <w:rPr>
          <w:b/>
          <w:bCs/>
        </w:rPr>
        <w:t>Васпитно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образовни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циљеви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задаци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тему</w:t>
      </w:r>
      <w:proofErr w:type="spellEnd"/>
      <w:r>
        <w:rPr>
          <w:b/>
          <w:bCs/>
        </w:rPr>
        <w:t xml:space="preserve">: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обједињује</w:t>
      </w:r>
      <w:proofErr w:type="spellEnd"/>
      <w:r>
        <w:t xml:space="preserve"> </w:t>
      </w:r>
      <w:proofErr w:type="spellStart"/>
      <w:r>
        <w:t>Царску</w:t>
      </w:r>
      <w:proofErr w:type="spellEnd"/>
      <w:r>
        <w:t xml:space="preserve">, </w:t>
      </w:r>
      <w:proofErr w:type="spellStart"/>
      <w:r>
        <w:t>Првосвештеничку</w:t>
      </w:r>
      <w:proofErr w:type="spellEnd"/>
      <w:r>
        <w:t xml:space="preserve"> и </w:t>
      </w:r>
      <w:proofErr w:type="spellStart"/>
      <w:r>
        <w:t>Пророчку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; </w:t>
      </w:r>
      <w:proofErr w:type="spellStart"/>
      <w:r>
        <w:t>Протумачити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и </w:t>
      </w:r>
      <w:proofErr w:type="spellStart"/>
      <w:r>
        <w:t>тропар</w:t>
      </w:r>
      <w:proofErr w:type="spellEnd"/>
      <w:r>
        <w:t xml:space="preserve"> </w:t>
      </w:r>
      <w:proofErr w:type="spellStart"/>
      <w:r>
        <w:t>Преображења</w:t>
      </w:r>
      <w:proofErr w:type="spellEnd"/>
      <w:r>
        <w:t xml:space="preserve"> у </w:t>
      </w:r>
      <w:proofErr w:type="spellStart"/>
      <w:r>
        <w:t>светлости</w:t>
      </w:r>
      <w:proofErr w:type="spellEnd"/>
      <w:r>
        <w:t xml:space="preserve"> </w:t>
      </w:r>
      <w:proofErr w:type="spellStart"/>
      <w:r>
        <w:t>исихастичког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; </w:t>
      </w:r>
      <w:proofErr w:type="spellStart"/>
      <w:r>
        <w:t>Подстаћи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размишљање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Христова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Крсту</w:t>
      </w:r>
      <w:proofErr w:type="spellEnd"/>
      <w:r>
        <w:t xml:space="preserve"> </w:t>
      </w:r>
      <w:proofErr w:type="spellStart"/>
      <w:r>
        <w:t>крајњи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човеку</w:t>
      </w:r>
      <w:proofErr w:type="spellEnd"/>
      <w:r>
        <w:t xml:space="preserve">;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есхатолошком</w:t>
      </w:r>
      <w:proofErr w:type="spellEnd"/>
      <w:r>
        <w:t xml:space="preserve"> </w:t>
      </w:r>
      <w:proofErr w:type="spellStart"/>
      <w:r>
        <w:t>димензијом</w:t>
      </w:r>
      <w:proofErr w:type="spellEnd"/>
      <w:r>
        <w:t xml:space="preserve">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Литургије</w:t>
      </w:r>
      <w:proofErr w:type="spellEnd"/>
      <w:r>
        <w:t>;</w:t>
      </w:r>
    </w:p>
    <w:p w14:paraId="2B5EA377" w14:textId="77777777" w:rsidR="00912DAC" w:rsidRDefault="00304ADC">
      <w:pPr>
        <w:pStyle w:val="LO-normal"/>
        <w:jc w:val="both"/>
        <w:rPr>
          <w:b/>
          <w:bCs/>
        </w:rPr>
      </w:pPr>
      <w:proofErr w:type="spellStart"/>
      <w:r>
        <w:rPr>
          <w:b/>
          <w:bCs/>
        </w:rPr>
        <w:t>Исходи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тему</w:t>
      </w:r>
      <w:proofErr w:type="spellEnd"/>
      <w:r>
        <w:rPr>
          <w:b/>
          <w:bCs/>
        </w:rPr>
        <w:t xml:space="preserve">: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повеже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Преображења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литургијском</w:t>
      </w:r>
      <w:proofErr w:type="spellEnd"/>
      <w:r>
        <w:t xml:space="preserve"> </w:t>
      </w:r>
      <w:proofErr w:type="spellStart"/>
      <w:r>
        <w:t>песмом</w:t>
      </w:r>
      <w:proofErr w:type="spellEnd"/>
      <w:r>
        <w:t xml:space="preserve"> “</w:t>
      </w:r>
      <w:proofErr w:type="spellStart"/>
      <w:r>
        <w:t>Видјехом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proofErr w:type="gramStart"/>
      <w:r>
        <w:t>истиниј</w:t>
      </w:r>
      <w:proofErr w:type="spellEnd"/>
      <w:r>
        <w:t>..</w:t>
      </w:r>
      <w:proofErr w:type="gramEnd"/>
      <w:r>
        <w:t xml:space="preserve">”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ћ</w:t>
      </w:r>
      <w:r>
        <w:t>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заједничка</w:t>
      </w:r>
      <w:proofErr w:type="spellEnd"/>
      <w:r>
        <w:t xml:space="preserve"> </w:t>
      </w:r>
      <w:proofErr w:type="spellStart"/>
      <w:r>
        <w:t>трпеза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заједништва</w:t>
      </w:r>
      <w:proofErr w:type="spellEnd"/>
      <w:r>
        <w:t xml:space="preserve">;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Тајном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установљује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свршетка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причешћујући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доживљава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уч</w:t>
      </w:r>
      <w:r>
        <w:t>есника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Вечере</w:t>
      </w:r>
      <w:proofErr w:type="spellEnd"/>
      <w:r>
        <w:t xml:space="preserve">;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општење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Христом</w:t>
      </w:r>
      <w:proofErr w:type="spellEnd"/>
      <w:r>
        <w:t xml:space="preserve"> и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у </w:t>
      </w:r>
      <w:proofErr w:type="spellStart"/>
      <w:r>
        <w:t>заједници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– у </w:t>
      </w:r>
      <w:proofErr w:type="spellStart"/>
      <w:r>
        <w:t>Цркви</w:t>
      </w:r>
      <w:proofErr w:type="spellEnd"/>
      <w:r>
        <w:t>.</w:t>
      </w:r>
    </w:p>
    <w:p w14:paraId="68B1E578" w14:textId="77777777" w:rsidR="00912DAC" w:rsidRDefault="00304ADC">
      <w:pPr>
        <w:pStyle w:val="LO-normal"/>
      </w:pPr>
      <w:proofErr w:type="spellStart"/>
      <w:r>
        <w:rPr>
          <w:b/>
        </w:rPr>
        <w:t>Стандарди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постигнућа</w:t>
      </w:r>
      <w:proofErr w:type="spellEnd"/>
      <w:r>
        <w:rPr>
          <w:b/>
        </w:rPr>
        <w:t>: /</w:t>
      </w:r>
    </w:p>
    <w:tbl>
      <w:tblPr>
        <w:tblStyle w:val="TableNormal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567"/>
      </w:tblGrid>
      <w:tr w:rsidR="00912DAC" w14:paraId="76D51EEA" w14:textId="77777777"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340" w14:textId="77777777" w:rsidR="00912DAC" w:rsidRDefault="00304ADC">
            <w:pPr>
              <w:pStyle w:val="LO-normal"/>
              <w:widowControl w:val="0"/>
            </w:pPr>
            <w:proofErr w:type="spellStart"/>
            <w:proofErr w:type="gramStart"/>
            <w:r>
              <w:rPr>
                <w:b/>
              </w:rPr>
              <w:t>Евалуација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оперативног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претходни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  <w:p w14:paraId="6F982BE1" w14:textId="77777777" w:rsidR="00912DAC" w:rsidRDefault="00304ADC">
            <w:pPr>
              <w:pStyle w:val="LO-normal"/>
              <w:widowControl w:val="0"/>
              <w:jc w:val="both"/>
            </w:pPr>
            <w:proofErr w:type="spellStart"/>
            <w:r>
              <w:rPr>
                <w:u w:val="single"/>
              </w:rPr>
              <w:t>Квантитативна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евалуација</w:t>
            </w:r>
            <w:proofErr w:type="spellEnd"/>
            <w:r>
              <w:rPr>
                <w:u w:val="single"/>
              </w:rPr>
              <w:t>:</w:t>
            </w:r>
            <w:r>
              <w:t xml:space="preserve"> </w:t>
            </w:r>
          </w:p>
          <w:p w14:paraId="3BD84855" w14:textId="77777777" w:rsidR="00912DAC" w:rsidRDefault="00304ADC">
            <w:pPr>
              <w:pStyle w:val="LO-normal"/>
              <w:widowControl w:val="0"/>
              <w:jc w:val="both"/>
            </w:pPr>
            <w:proofErr w:type="spellStart"/>
            <w:r>
              <w:t>Оступање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месечног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часо</w:t>
            </w:r>
            <w:r>
              <w:t>ва</w:t>
            </w:r>
            <w:proofErr w:type="spellEnd"/>
            <w:r>
              <w:t xml:space="preserve"> у </w:t>
            </w:r>
            <w:proofErr w:type="spellStart"/>
            <w:r>
              <w:t>одељењима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у </w:t>
            </w:r>
            <w:proofErr w:type="spellStart"/>
            <w:r>
              <w:t>истом</w:t>
            </w:r>
            <w:proofErr w:type="spellEnd"/>
            <w:r>
              <w:t xml:space="preserve"> </w:t>
            </w:r>
            <w:proofErr w:type="spellStart"/>
            <w:r>
              <w:t>месецу</w:t>
            </w:r>
            <w:proofErr w:type="spellEnd"/>
            <w:r>
              <w:t xml:space="preserve"> </w:t>
            </w:r>
            <w:proofErr w:type="spellStart"/>
            <w:r>
              <w:t>реализују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неће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евидентирана</w:t>
            </w:r>
            <w:proofErr w:type="spellEnd"/>
            <w:r>
              <w:t xml:space="preserve"> </w:t>
            </w:r>
            <w:proofErr w:type="spellStart"/>
            <w:r>
              <w:t>корекцијом</w:t>
            </w:r>
            <w:proofErr w:type="spellEnd"/>
            <w:r>
              <w:t xml:space="preserve"> </w:t>
            </w:r>
            <w:proofErr w:type="spellStart"/>
            <w:r>
              <w:t>редоследа</w:t>
            </w:r>
            <w:proofErr w:type="spellEnd"/>
            <w:r>
              <w:t xml:space="preserve"> </w:t>
            </w:r>
            <w:proofErr w:type="spellStart"/>
            <w:r>
              <w:t>наставних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наредни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, </w:t>
            </w:r>
            <w:proofErr w:type="spellStart"/>
            <w:r>
              <w:t>већ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планиран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, а </w:t>
            </w:r>
            <w:proofErr w:type="spellStart"/>
            <w:r>
              <w:t>изгубљен</w:t>
            </w:r>
            <w:proofErr w:type="spellEnd"/>
            <w:r>
              <w:t xml:space="preserve"> </w:t>
            </w:r>
            <w:proofErr w:type="spellStart"/>
            <w:r>
              <w:t>због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, </w:t>
            </w:r>
            <w:proofErr w:type="spellStart"/>
            <w:r>
              <w:t>аутоматски</w:t>
            </w:r>
            <w:proofErr w:type="spellEnd"/>
            <w:r>
              <w:t xml:space="preserve"> </w:t>
            </w:r>
            <w:proofErr w:type="spellStart"/>
            <w:r>
              <w:t>преносити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наредни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...</w:t>
            </w:r>
          </w:p>
          <w:p w14:paraId="735BA670" w14:textId="77777777" w:rsidR="00912DAC" w:rsidRDefault="00304ADC">
            <w:pPr>
              <w:pStyle w:val="LO-normal"/>
              <w:widowControl w:val="0"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Квали</w:t>
            </w:r>
            <w:r>
              <w:rPr>
                <w:u w:val="single"/>
              </w:rPr>
              <w:t>тативна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евалуација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предлози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побољшање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плана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потребне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корекције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наредни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месец</w:t>
            </w:r>
            <w:proofErr w:type="spellEnd"/>
            <w:r>
              <w:rPr>
                <w:u w:val="single"/>
              </w:rPr>
              <w:t>):</w:t>
            </w:r>
          </w:p>
          <w:p w14:paraId="1E0D146B" w14:textId="77777777" w:rsidR="00912DAC" w:rsidRDefault="00304ADC">
            <w:pPr>
              <w:pStyle w:val="LO-normal"/>
              <w:widowControl w:val="0"/>
              <w:jc w:val="both"/>
            </w:pPr>
            <w:r>
              <w:t>-</w:t>
            </w:r>
            <w:proofErr w:type="spellStart"/>
            <w:r>
              <w:t>Боље</w:t>
            </w:r>
            <w:proofErr w:type="spellEnd"/>
            <w:r>
              <w:t xml:space="preserve"> </w:t>
            </w:r>
            <w:proofErr w:type="spellStart"/>
            <w:r>
              <w:t>прилагођавање</w:t>
            </w:r>
            <w:proofErr w:type="spellEnd"/>
            <w:r>
              <w:t xml:space="preserve"> </w:t>
            </w:r>
            <w:proofErr w:type="spellStart"/>
            <w:r>
              <w:t>наставног</w:t>
            </w:r>
            <w:proofErr w:type="spellEnd"/>
            <w:r>
              <w:t xml:space="preserve"> </w:t>
            </w:r>
            <w:proofErr w:type="spellStart"/>
            <w:r>
              <w:t>садржаја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</w:t>
            </w:r>
            <w:proofErr w:type="spellStart"/>
            <w:r>
              <w:t>узрасту</w:t>
            </w:r>
            <w:proofErr w:type="spellEnd"/>
            <w:r>
              <w:t xml:space="preserve"> и </w:t>
            </w:r>
            <w:proofErr w:type="spellStart"/>
            <w:r>
              <w:t>нивоу</w:t>
            </w:r>
            <w:proofErr w:type="spellEnd"/>
            <w:r>
              <w:t xml:space="preserve"> </w:t>
            </w:r>
            <w:proofErr w:type="spellStart"/>
            <w:r>
              <w:t>предзнања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радионичарског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интеракције</w:t>
            </w:r>
            <w:proofErr w:type="spellEnd"/>
            <w:r>
              <w:t xml:space="preserve"> и </w:t>
            </w:r>
            <w:proofErr w:type="spellStart"/>
            <w:r>
              <w:t>учешћа</w:t>
            </w:r>
            <w:proofErr w:type="spellEnd"/>
            <w:r>
              <w:t xml:space="preserve"> у </w:t>
            </w:r>
            <w:proofErr w:type="spellStart"/>
            <w:r>
              <w:t>Литургијским</w:t>
            </w:r>
            <w:proofErr w:type="spellEnd"/>
            <w:r>
              <w:t xml:space="preserve"> </w:t>
            </w:r>
            <w:proofErr w:type="spellStart"/>
            <w:r>
              <w:t>сабрањима</w:t>
            </w:r>
            <w:proofErr w:type="spellEnd"/>
            <w:r>
              <w:t>.</w:t>
            </w:r>
          </w:p>
        </w:tc>
      </w:tr>
    </w:tbl>
    <w:p w14:paraId="690FF33D" w14:textId="77777777" w:rsidR="00912DAC" w:rsidRDefault="00912DAC">
      <w:pPr>
        <w:pStyle w:val="LO-normal"/>
      </w:pPr>
    </w:p>
    <w:p w14:paraId="23F34B4C" w14:textId="77777777" w:rsidR="00912DAC" w:rsidRDefault="00912DAC">
      <w:pPr>
        <w:pStyle w:val="LO-normal"/>
      </w:pPr>
    </w:p>
    <w:tbl>
      <w:tblPr>
        <w:tblStyle w:val="TableNormal"/>
        <w:tblW w:w="1483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1"/>
        <w:gridCol w:w="824"/>
        <w:gridCol w:w="3137"/>
        <w:gridCol w:w="1149"/>
        <w:gridCol w:w="1261"/>
        <w:gridCol w:w="1800"/>
        <w:gridCol w:w="1622"/>
        <w:gridCol w:w="1955"/>
        <w:gridCol w:w="2361"/>
      </w:tblGrid>
      <w:tr w:rsidR="00912DAC" w14:paraId="2EEE635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57CF" w14:textId="77777777" w:rsidR="00912DAC" w:rsidRDefault="00304ADC">
            <w:pPr>
              <w:pStyle w:val="LO-normal"/>
              <w:widowControl w:val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</w:p>
          <w:p w14:paraId="53E178B0" w14:textId="77777777" w:rsidR="00912DAC" w:rsidRDefault="00304ADC">
            <w:pPr>
              <w:pStyle w:val="LO-normal"/>
              <w:widowControl w:val="0"/>
              <w:jc w:val="center"/>
            </w:pPr>
            <w:proofErr w:type="spellStart"/>
            <w:r>
              <w:t>јединице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E5A3" w14:textId="77777777" w:rsidR="00912DAC" w:rsidRDefault="00912DAC">
            <w:pPr>
              <w:pStyle w:val="LO-normal"/>
              <w:widowControl w:val="0"/>
              <w:ind w:left="193" w:right="113" w:firstLine="480"/>
              <w:jc w:val="center"/>
            </w:pPr>
          </w:p>
          <w:p w14:paraId="27794EB2" w14:textId="77777777" w:rsidR="00912DAC" w:rsidRDefault="00304ADC">
            <w:pPr>
              <w:pStyle w:val="LO-normal"/>
              <w:widowControl w:val="0"/>
              <w:ind w:right="113"/>
              <w:jc w:val="center"/>
            </w:pPr>
            <w:proofErr w:type="spellStart"/>
            <w:r>
              <w:t>Ред</w:t>
            </w:r>
            <w:proofErr w:type="spellEnd"/>
            <w:r>
              <w:t>.</w:t>
            </w:r>
          </w:p>
          <w:p w14:paraId="73CCCA25" w14:textId="77777777" w:rsidR="00912DAC" w:rsidRDefault="00304ADC">
            <w:pPr>
              <w:pStyle w:val="LO-normal"/>
              <w:widowControl w:val="0"/>
              <w:ind w:right="113"/>
              <w:jc w:val="center"/>
            </w:pPr>
            <w:proofErr w:type="spellStart"/>
            <w:r>
              <w:t>бр</w:t>
            </w:r>
            <w:proofErr w:type="spellEnd"/>
            <w:r>
              <w:t>.</w:t>
            </w:r>
          </w:p>
          <w:p w14:paraId="1273D239" w14:textId="77777777" w:rsidR="00912DAC" w:rsidRDefault="00304ADC">
            <w:pPr>
              <w:pStyle w:val="LO-normal"/>
              <w:widowControl w:val="0"/>
              <w:ind w:right="113"/>
              <w:jc w:val="center"/>
            </w:pPr>
            <w:proofErr w:type="spellStart"/>
            <w:r>
              <w:t>часа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9407" w14:textId="77777777" w:rsidR="00912DAC" w:rsidRDefault="00304ADC">
            <w:pPr>
              <w:pStyle w:val="LO-normal"/>
              <w:widowControl w:val="0"/>
              <w:ind w:left="403" w:right="113"/>
              <w:jc w:val="center"/>
            </w:pPr>
            <w:proofErr w:type="spellStart"/>
            <w:proofErr w:type="gramStart"/>
            <w:r>
              <w:t>Наставна</w:t>
            </w:r>
            <w:proofErr w:type="spellEnd"/>
            <w:r>
              <w:t xml:space="preserve">  </w:t>
            </w:r>
            <w:proofErr w:type="spellStart"/>
            <w:r>
              <w:t>јединица</w:t>
            </w:r>
            <w:proofErr w:type="spellEnd"/>
            <w:proofErr w:type="gramEnd"/>
          </w:p>
          <w:p w14:paraId="47BF7050" w14:textId="77777777" w:rsidR="00912DAC" w:rsidRDefault="00912DAC">
            <w:pPr>
              <w:pStyle w:val="LO-normal"/>
              <w:widowControl w:val="0"/>
              <w:ind w:left="403" w:right="113"/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8781" w14:textId="77777777" w:rsidR="00912DAC" w:rsidRDefault="00304ADC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>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2AF1" w14:textId="77777777" w:rsidR="00912DAC" w:rsidRDefault="00304ADC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398B" w14:textId="77777777" w:rsidR="00912DAC" w:rsidRDefault="00304ADC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Наставне</w:t>
            </w:r>
            <w:proofErr w:type="spellEnd"/>
          </w:p>
          <w:p w14:paraId="227F42BE" w14:textId="77777777" w:rsidR="00912DAC" w:rsidRDefault="00304ADC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методе</w:t>
            </w:r>
            <w:proofErr w:type="spellEnd"/>
            <w:r>
              <w:t>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442D" w14:textId="77777777" w:rsidR="00912DAC" w:rsidRDefault="00304ADC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Наставна</w:t>
            </w:r>
            <w:proofErr w:type="spellEnd"/>
          </w:p>
          <w:p w14:paraId="61B41AF5" w14:textId="77777777" w:rsidR="00912DAC" w:rsidRDefault="00304ADC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средства</w:t>
            </w:r>
            <w:proofErr w:type="spellEnd"/>
            <w:r>
              <w:t>: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1413" w14:textId="77777777" w:rsidR="00912DAC" w:rsidRDefault="00304ADC">
            <w:pPr>
              <w:pStyle w:val="LO-normal"/>
              <w:widowControl w:val="0"/>
              <w:jc w:val="center"/>
            </w:pPr>
            <w:proofErr w:type="spellStart"/>
            <w:r>
              <w:t>Међупредметно</w:t>
            </w:r>
            <w:proofErr w:type="spellEnd"/>
            <w:r>
              <w:t xml:space="preserve"> </w:t>
            </w:r>
            <w:proofErr w:type="spellStart"/>
            <w:r>
              <w:t>повезивање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0C65" w14:textId="77777777" w:rsidR="00912DAC" w:rsidRDefault="00304ADC">
            <w:pPr>
              <w:pStyle w:val="LO-normal"/>
              <w:widowControl w:val="0"/>
              <w:jc w:val="center"/>
            </w:pPr>
            <w:proofErr w:type="spellStart"/>
            <w:r>
              <w:t>Евалуација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исланираног</w:t>
            </w:r>
            <w:proofErr w:type="spellEnd"/>
          </w:p>
        </w:tc>
      </w:tr>
      <w:tr w:rsidR="00912DAC" w14:paraId="5838F8E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1889" w14:textId="77777777" w:rsidR="00912DAC" w:rsidRDefault="00304ADC">
            <w:pPr>
              <w:pStyle w:val="LO-normal"/>
              <w:widowControl w:val="0"/>
            </w:pPr>
            <w:r>
              <w:rPr>
                <w:b/>
              </w:rPr>
              <w:t>16.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E7C8" w14:textId="77777777" w:rsidR="00912DAC" w:rsidRDefault="00912DAC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4ABD59" w14:textId="77777777" w:rsidR="00912DAC" w:rsidRDefault="00912DAC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C312" w14:textId="77777777" w:rsidR="00912DAC" w:rsidRDefault="00304ADC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Вазнесење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Други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Долазак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44CF" w14:textId="77777777" w:rsidR="00912DAC" w:rsidRDefault="00304ADC">
            <w:pPr>
              <w:pStyle w:val="LO-normal"/>
              <w:widowControl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6AD" w14:textId="77777777" w:rsidR="00912DAC" w:rsidRDefault="00304ADC">
            <w:pPr>
              <w:pStyle w:val="LO-normal"/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фронтални</w:t>
            </w:r>
            <w:proofErr w:type="spellEnd"/>
          </w:p>
          <w:p w14:paraId="00B56DA6" w14:textId="77777777" w:rsidR="00912DAC" w:rsidRDefault="00304ADC">
            <w:pPr>
              <w:pStyle w:val="LO-normal"/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21C4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дијалошка</w:t>
            </w:r>
            <w:proofErr w:type="spellEnd"/>
          </w:p>
          <w:p w14:paraId="5CE83957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тексту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9B71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Свето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9EA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32F403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7CDF0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4887" w14:textId="77777777" w:rsidR="00912DAC" w:rsidRDefault="00304AD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међупредметна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усклађеност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ECF42CD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42918E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6E1AE" w14:textId="77777777" w:rsidR="00912DAC" w:rsidRDefault="00304AD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потребан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број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часова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обраду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теме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29CBC08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E6676F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1ACFC8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A23048" w14:textId="77777777" w:rsidR="00912DAC" w:rsidRDefault="00304AD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оптерећеност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наставом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323180A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5E2853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3DD92F" w14:textId="77777777" w:rsidR="00912DAC" w:rsidRDefault="00304AD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степен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савладавање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наставних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садржаја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EC1C288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50A8CE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68D908" w14:textId="77777777" w:rsidR="00912DAC" w:rsidRDefault="00912DA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5AB47D" w14:textId="77777777" w:rsidR="00912DAC" w:rsidRDefault="00304ADC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прилагођеност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излагања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узрасту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ACAFC2B" w14:textId="77777777" w:rsidR="00912DAC" w:rsidRDefault="00912DAC">
            <w:pPr>
              <w:pStyle w:val="LO-normal"/>
              <w:widowControl w:val="0"/>
            </w:pPr>
          </w:p>
        </w:tc>
      </w:tr>
      <w:tr w:rsidR="00912DAC" w14:paraId="561127D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A1F0" w14:textId="77777777" w:rsidR="00912DAC" w:rsidRDefault="00304ADC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31A1" w14:textId="77777777" w:rsidR="00912DAC" w:rsidRDefault="00912DA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53B" w14:textId="77777777" w:rsidR="00912DAC" w:rsidRDefault="00304ADC">
            <w:pPr>
              <w:pStyle w:val="LO-normal"/>
              <w:widowControl w:val="0"/>
              <w:jc w:val="center"/>
            </w:pPr>
            <w:proofErr w:type="spellStart"/>
            <w:r>
              <w:t>Вазнесење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Долазак</w:t>
            </w:r>
            <w:proofErr w:type="spellEnd"/>
            <w:r>
              <w:t xml:space="preserve"> </w:t>
            </w:r>
            <w:proofErr w:type="spellStart"/>
            <w:r>
              <w:t>Христов</w:t>
            </w:r>
            <w:proofErr w:type="spellEnd"/>
          </w:p>
          <w:p w14:paraId="4EB036CF" w14:textId="77777777" w:rsidR="00912DAC" w:rsidRDefault="00912DA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7CE3" w14:textId="77777777" w:rsidR="00912DAC" w:rsidRDefault="00304ADC">
            <w:pPr>
              <w:pStyle w:val="LO-normal"/>
              <w:widowControl w:val="0"/>
            </w:pPr>
            <w:proofErr w:type="spellStart"/>
            <w:r>
              <w:t>обнављање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FA91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фронтални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47F3" w14:textId="77777777" w:rsidR="00912DAC" w:rsidRDefault="00304ADC">
            <w:pPr>
              <w:pStyle w:val="LO-normal"/>
              <w:widowControl w:val="0"/>
            </w:pPr>
            <w:proofErr w:type="spellStart"/>
            <w:r>
              <w:t>монолошка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C64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дидактички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материјал</w:t>
            </w:r>
            <w:proofErr w:type="spellEnd"/>
          </w:p>
          <w:p w14:paraId="33AABB21" w14:textId="77777777" w:rsidR="00912DAC" w:rsidRDefault="00912DAC">
            <w:pPr>
              <w:pStyle w:val="LO-normal"/>
              <w:widowControl w:val="0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A074" w14:textId="77777777" w:rsidR="00912DAC" w:rsidRDefault="00912DAC">
            <w:pPr>
              <w:pStyle w:val="LO-normal"/>
              <w:widowControl w:val="0"/>
              <w:spacing w:line="276" w:lineRule="auto"/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636" w14:textId="77777777" w:rsidR="00912DAC" w:rsidRDefault="00912DAC">
            <w:pPr>
              <w:pStyle w:val="LO-normal"/>
              <w:widowControl w:val="0"/>
              <w:spacing w:line="276" w:lineRule="auto"/>
            </w:pPr>
          </w:p>
        </w:tc>
      </w:tr>
      <w:tr w:rsidR="00912DAC" w14:paraId="59FE98E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A5D" w14:textId="77777777" w:rsidR="00912DAC" w:rsidRDefault="00304ADC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17.</w:t>
            </w:r>
          </w:p>
          <w:p w14:paraId="5A98FFE3" w14:textId="77777777" w:rsidR="00912DAC" w:rsidRDefault="00912DAC">
            <w:pPr>
              <w:pStyle w:val="LO-normal"/>
              <w:widowControl w:val="0"/>
              <w:rPr>
                <w:b/>
              </w:rPr>
            </w:pPr>
          </w:p>
          <w:p w14:paraId="3A9D9C47" w14:textId="77777777" w:rsidR="00912DAC" w:rsidRDefault="00912DAC">
            <w:pPr>
              <w:pStyle w:val="LO-normal"/>
              <w:widowControl w:val="0"/>
              <w:rPr>
                <w:b/>
              </w:rPr>
            </w:pPr>
          </w:p>
          <w:p w14:paraId="4B813073" w14:textId="77777777" w:rsidR="00912DAC" w:rsidRDefault="00912DAC">
            <w:pPr>
              <w:pStyle w:val="LO-normal"/>
              <w:widowControl w:val="0"/>
              <w:rPr>
                <w:b/>
              </w:rPr>
            </w:pPr>
          </w:p>
          <w:p w14:paraId="362C91C1" w14:textId="77777777" w:rsidR="00912DAC" w:rsidRDefault="00304ADC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7B1E" w14:textId="77777777" w:rsidR="00912DAC" w:rsidRDefault="00912DAC">
            <w:pPr>
              <w:pStyle w:val="LO-normal"/>
              <w:widowControl w:val="0"/>
              <w:spacing w:after="27"/>
              <w:jc w:val="center"/>
              <w:rPr>
                <w:b/>
              </w:rPr>
            </w:pPr>
          </w:p>
          <w:p w14:paraId="4CE01E37" w14:textId="77777777" w:rsidR="00912DAC" w:rsidRDefault="00912DAC">
            <w:pPr>
              <w:pStyle w:val="LO-normal"/>
              <w:widowControl w:val="0"/>
              <w:spacing w:after="27"/>
              <w:jc w:val="center"/>
              <w:rPr>
                <w:b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0889" w14:textId="77777777" w:rsidR="00912DAC" w:rsidRDefault="00304ADC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Свети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Дух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Утешитељ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Дух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заједнице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Цар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небески</w:t>
            </w:r>
            <w:proofErr w:type="spellEnd"/>
          </w:p>
          <w:p w14:paraId="48F84078" w14:textId="77777777" w:rsidR="00912DAC" w:rsidRDefault="00912DAC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</w:rPr>
            </w:pPr>
          </w:p>
          <w:p w14:paraId="76CE071E" w14:textId="77777777" w:rsidR="00912DAC" w:rsidRDefault="00304ADC">
            <w:pPr>
              <w:pStyle w:val="LO-normal"/>
              <w:widowControl w:val="0"/>
              <w:spacing w:after="27"/>
            </w:pPr>
            <w:r>
              <w:t xml:space="preserve">  </w:t>
            </w:r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Дух</w:t>
            </w:r>
            <w:proofErr w:type="spellEnd"/>
            <w:r>
              <w:t xml:space="preserve"> </w:t>
            </w:r>
            <w:proofErr w:type="spellStart"/>
            <w:r>
              <w:t>Утешитељ-Дух</w:t>
            </w:r>
            <w:proofErr w:type="spellEnd"/>
            <w:r>
              <w:t xml:space="preserve"> </w:t>
            </w:r>
            <w:proofErr w:type="spellStart"/>
            <w:r>
              <w:t>заједнице</w:t>
            </w:r>
            <w:proofErr w:type="spellEnd"/>
            <w:r>
              <w:t xml:space="preserve"> и </w:t>
            </w:r>
            <w:proofErr w:type="spellStart"/>
            <w:r>
              <w:t>Цар</w:t>
            </w:r>
            <w:proofErr w:type="spellEnd"/>
            <w:r>
              <w:t xml:space="preserve"> </w:t>
            </w:r>
            <w:proofErr w:type="spellStart"/>
            <w:r>
              <w:t>небески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0DB2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</w:p>
          <w:p w14:paraId="25BE52FD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8267EA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D931BB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55B5D6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2DC9F5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Систематизација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6F2D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Индивидуални</w:t>
            </w:r>
            <w:proofErr w:type="spellEnd"/>
          </w:p>
          <w:p w14:paraId="3A1B13E0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D64A46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EC275D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AEDCA6" w14:textId="77777777" w:rsidR="00912DAC" w:rsidRDefault="00304ADC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фронтални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92E" w14:textId="77777777" w:rsidR="00912DAC" w:rsidRDefault="00304AD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дијалошка</w:t>
            </w:r>
            <w:proofErr w:type="spellEnd"/>
          </w:p>
          <w:p w14:paraId="0128617E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30C1EB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C0F1E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CC075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018D5" w14:textId="77777777" w:rsidR="00912DAC" w:rsidRDefault="00304ADC">
            <w:pPr>
              <w:pStyle w:val="LO-normal"/>
              <w:widowControl w:val="0"/>
            </w:pPr>
            <w:r>
              <w:t xml:space="preserve">-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групи</w:t>
            </w:r>
            <w:proofErr w:type="spellEnd"/>
          </w:p>
          <w:p w14:paraId="5D254C10" w14:textId="77777777" w:rsidR="00912DAC" w:rsidRDefault="00304ADC">
            <w:pPr>
              <w:pStyle w:val="LO-normal"/>
              <w:widowControl w:val="0"/>
            </w:pPr>
            <w:r>
              <w:t xml:space="preserve">- </w:t>
            </w:r>
            <w:proofErr w:type="spellStart"/>
            <w:r>
              <w:t>илустративна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3DA" w14:textId="77777777" w:rsidR="00912DAC" w:rsidRDefault="00304AD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дидактички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материјал</w:t>
            </w:r>
            <w:proofErr w:type="spellEnd"/>
          </w:p>
          <w:p w14:paraId="160EDD92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56E8C1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2C0F3A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50F91D" w14:textId="77777777" w:rsidR="00912DAC" w:rsidRDefault="00912DAC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71AD99" w14:textId="77777777" w:rsidR="00912DAC" w:rsidRDefault="00304ADC">
            <w:pPr>
              <w:pStyle w:val="LO-normal"/>
              <w:widowControl w:val="0"/>
            </w:pPr>
            <w:r>
              <w:t xml:space="preserve">- </w:t>
            </w:r>
            <w:proofErr w:type="spellStart"/>
            <w:r>
              <w:t>Свето</w:t>
            </w:r>
            <w:proofErr w:type="spellEnd"/>
            <w:r>
              <w:t xml:space="preserve"> </w:t>
            </w:r>
            <w:proofErr w:type="spellStart"/>
            <w:r>
              <w:t>Писмо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74D0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172C2C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06814E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9B67B3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E61A1D" w14:textId="77777777" w:rsidR="00912DAC" w:rsidRDefault="00912DAC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D72" w14:textId="77777777" w:rsidR="00912DAC" w:rsidRDefault="00912DAC">
            <w:pPr>
              <w:pStyle w:val="LO-normal"/>
              <w:widowControl w:val="0"/>
              <w:spacing w:line="276" w:lineRule="auto"/>
            </w:pPr>
          </w:p>
        </w:tc>
      </w:tr>
      <w:tr w:rsidR="00912DAC" w14:paraId="4C36FBF8" w14:textId="77777777">
        <w:trPr>
          <w:trHeight w:val="1390"/>
        </w:trPr>
        <w:tc>
          <w:tcPr>
            <w:tcW w:w="8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8906" w14:textId="77777777" w:rsidR="00912DAC" w:rsidRPr="00304ADC" w:rsidRDefault="00304ADC">
            <w:pPr>
              <w:pStyle w:val="LO-normal"/>
              <w:widowControl w:val="0"/>
              <w:rPr>
                <w:lang/>
              </w:rPr>
            </w:pPr>
            <w:r w:rsidRPr="00304ADC">
              <w:rPr>
                <w:b/>
                <w:lang/>
              </w:rPr>
              <w:t>Aктивности наставника:</w:t>
            </w:r>
            <w:r w:rsidRPr="00304ADC">
              <w:rPr>
                <w:lang/>
              </w:rPr>
              <w:t xml:space="preserve"> </w:t>
            </w:r>
          </w:p>
          <w:p w14:paraId="0861657A" w14:textId="77777777" w:rsidR="00912DAC" w:rsidRPr="00304ADC" w:rsidRDefault="00304ADC">
            <w:pPr>
              <w:pStyle w:val="LO-normal"/>
              <w:widowControl w:val="0"/>
              <w:rPr>
                <w:lang/>
              </w:rPr>
            </w:pPr>
            <w:r w:rsidRPr="00304ADC">
              <w:rPr>
                <w:lang/>
              </w:rPr>
              <w:t>-Упознати ученике са најзачајним празницима.</w:t>
            </w:r>
          </w:p>
          <w:p w14:paraId="1B7EB8F0" w14:textId="77777777" w:rsidR="00912DAC" w:rsidRPr="00304ADC" w:rsidRDefault="00304ADC">
            <w:pPr>
              <w:pStyle w:val="LO-normal"/>
              <w:widowControl w:val="0"/>
              <w:rPr>
                <w:lang/>
              </w:rPr>
            </w:pPr>
            <w:r w:rsidRPr="00304ADC">
              <w:rPr>
                <w:lang/>
              </w:rPr>
              <w:t xml:space="preserve">-Упознати ученике са Црквом Божјом кроз Свето </w:t>
            </w:r>
            <w:r w:rsidRPr="00304ADC">
              <w:rPr>
                <w:lang/>
              </w:rPr>
              <w:t>Предање.</w:t>
            </w:r>
          </w:p>
          <w:p w14:paraId="67898AD4" w14:textId="77777777" w:rsidR="00912DAC" w:rsidRPr="00304ADC" w:rsidRDefault="00912DAC">
            <w:pPr>
              <w:pStyle w:val="LO-normal"/>
              <w:widowControl w:val="0"/>
              <w:rPr>
                <w:lang/>
              </w:rPr>
            </w:pPr>
          </w:p>
          <w:p w14:paraId="229FD756" w14:textId="77777777" w:rsidR="00912DAC" w:rsidRPr="00304ADC" w:rsidRDefault="00304ADC">
            <w:pPr>
              <w:pStyle w:val="LO-normal"/>
              <w:widowControl w:val="0"/>
              <w:ind w:left="360"/>
              <w:rPr>
                <w:lang/>
              </w:rPr>
            </w:pPr>
            <w:r w:rsidRPr="00304ADC">
              <w:rPr>
                <w:lang/>
              </w:rPr>
              <w:t xml:space="preserve"> 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BC6E" w14:textId="77777777" w:rsidR="00912DAC" w:rsidRPr="00304ADC" w:rsidRDefault="00304ADC">
            <w:pPr>
              <w:pStyle w:val="LO-normal"/>
              <w:widowControl w:val="0"/>
              <w:rPr>
                <w:lang/>
              </w:rPr>
            </w:pPr>
            <w:r w:rsidRPr="00304ADC">
              <w:rPr>
                <w:b/>
                <w:lang/>
              </w:rPr>
              <w:t>Очекивана активност ученика:</w:t>
            </w:r>
          </w:p>
          <w:p w14:paraId="5B8DBF05" w14:textId="77777777" w:rsidR="00912DAC" w:rsidRPr="00304ADC" w:rsidRDefault="00304ADC">
            <w:pPr>
              <w:pStyle w:val="LO-normal"/>
              <w:widowControl w:val="0"/>
              <w:tabs>
                <w:tab w:val="left" w:pos="1175"/>
              </w:tabs>
              <w:rPr>
                <w:lang/>
              </w:rPr>
            </w:pPr>
            <w:r w:rsidRPr="00304ADC">
              <w:rPr>
                <w:lang/>
              </w:rPr>
              <w:t>- Свест о значају празника кроз светотајински однос</w:t>
            </w:r>
          </w:p>
          <w:p w14:paraId="67E614B5" w14:textId="77777777" w:rsidR="00912DAC" w:rsidRPr="00304ADC" w:rsidRDefault="00304ADC">
            <w:pPr>
              <w:pStyle w:val="LO-normal"/>
              <w:widowControl w:val="0"/>
              <w:tabs>
                <w:tab w:val="left" w:pos="1175"/>
              </w:tabs>
              <w:rPr>
                <w:lang/>
              </w:rPr>
            </w:pPr>
            <w:r w:rsidRPr="00304ADC">
              <w:rPr>
                <w:lang/>
              </w:rPr>
              <w:t>- Подстицај ученика на учестовање у Светим Тајнама.</w:t>
            </w:r>
          </w:p>
          <w:p w14:paraId="00B54132" w14:textId="77777777" w:rsidR="00912DAC" w:rsidRPr="00304ADC" w:rsidRDefault="00912DAC">
            <w:pPr>
              <w:pStyle w:val="LO-normal"/>
              <w:widowControl w:val="0"/>
              <w:rPr>
                <w:lang/>
              </w:rPr>
            </w:pPr>
          </w:p>
          <w:p w14:paraId="4492BBAF" w14:textId="77777777" w:rsidR="00912DAC" w:rsidRPr="00304ADC" w:rsidRDefault="00912DAC">
            <w:pPr>
              <w:pStyle w:val="LO-normal"/>
              <w:widowControl w:val="0"/>
              <w:ind w:left="360"/>
              <w:rPr>
                <w:lang/>
              </w:rPr>
            </w:pPr>
          </w:p>
        </w:tc>
      </w:tr>
    </w:tbl>
    <w:p w14:paraId="746D44C3" w14:textId="77777777" w:rsidR="00912DAC" w:rsidRPr="00304ADC" w:rsidRDefault="00912DAC">
      <w:pPr>
        <w:pStyle w:val="LO-normal"/>
        <w:rPr>
          <w:lang/>
        </w:rPr>
      </w:pPr>
    </w:p>
    <w:p w14:paraId="1EF3EDB8" w14:textId="77777777" w:rsidR="00912DAC" w:rsidRPr="00304ADC" w:rsidRDefault="00304ADC">
      <w:pPr>
        <w:pStyle w:val="LO-normal"/>
        <w:rPr>
          <w:lang/>
        </w:rPr>
      </w:pPr>
      <w:r w:rsidRPr="00304ADC">
        <w:rPr>
          <w:b/>
          <w:u w:val="single"/>
          <w:lang/>
        </w:rPr>
        <w:t>Напомена у вези са месечном реализацијом, разлози одступања од плана:</w:t>
      </w:r>
    </w:p>
    <w:p w14:paraId="0EF36F82" w14:textId="77777777" w:rsidR="00912DAC" w:rsidRPr="00304ADC" w:rsidRDefault="00912DAC">
      <w:pPr>
        <w:pStyle w:val="LO-normal"/>
        <w:rPr>
          <w:lang/>
        </w:rPr>
      </w:pPr>
    </w:p>
    <w:p w14:paraId="2C098287" w14:textId="77777777" w:rsidR="00912DAC" w:rsidRPr="00304ADC" w:rsidRDefault="00912DAC">
      <w:pPr>
        <w:pStyle w:val="LO-normal"/>
        <w:rPr>
          <w:lang/>
        </w:rPr>
      </w:pPr>
    </w:p>
    <w:p w14:paraId="03E146A5" w14:textId="77777777" w:rsidR="00912DAC" w:rsidRPr="00304ADC" w:rsidRDefault="00912DAC">
      <w:pPr>
        <w:pStyle w:val="LO-normal"/>
        <w:rPr>
          <w:lang/>
        </w:rPr>
      </w:pPr>
    </w:p>
    <w:p w14:paraId="745FD3FF" w14:textId="77777777" w:rsidR="00912DAC" w:rsidRPr="00304ADC" w:rsidRDefault="00304ADC">
      <w:pPr>
        <w:pStyle w:val="LO-normal"/>
        <w:rPr>
          <w:lang/>
        </w:rPr>
      </w:pPr>
      <w:r w:rsidRPr="00304ADC">
        <w:rPr>
          <w:lang/>
        </w:rPr>
        <w:t>НАСТАВНИК</w:t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>ДИРЕКТОР</w:t>
      </w:r>
    </w:p>
    <w:p w14:paraId="1B54D659" w14:textId="77777777" w:rsidR="00912DAC" w:rsidRPr="00304ADC" w:rsidRDefault="00304ADC">
      <w:pPr>
        <w:pStyle w:val="LO-normal"/>
        <w:rPr>
          <w:lang/>
        </w:rPr>
      </w:pPr>
      <w:r w:rsidRPr="00304ADC">
        <w:rPr>
          <w:lang/>
        </w:rPr>
        <w:t>Алекса Грујичић</w:t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</w:r>
      <w:r w:rsidRPr="00304ADC">
        <w:rPr>
          <w:lang/>
        </w:rPr>
        <w:tab/>
        <w:t xml:space="preserve"> </w:t>
      </w:r>
      <w:r w:rsidRPr="00304ADC">
        <w:rPr>
          <w:lang/>
        </w:rPr>
        <w:tab/>
        <w:t>Зоран Николић</w:t>
      </w:r>
    </w:p>
    <w:p w14:paraId="20AFDFC9" w14:textId="77777777" w:rsidR="00912DAC" w:rsidRPr="00304ADC" w:rsidRDefault="00912DAC">
      <w:pPr>
        <w:pStyle w:val="LO-normal"/>
        <w:rPr>
          <w:lang/>
        </w:rPr>
      </w:pPr>
    </w:p>
    <w:p w14:paraId="1628F87D" w14:textId="77777777" w:rsidR="00912DAC" w:rsidRPr="00304ADC" w:rsidRDefault="00912DAC">
      <w:pPr>
        <w:pStyle w:val="LO-normal"/>
        <w:rPr>
          <w:lang/>
        </w:rPr>
      </w:pPr>
    </w:p>
    <w:p w14:paraId="3CD19E6A" w14:textId="77777777" w:rsidR="00912DAC" w:rsidRPr="00304ADC" w:rsidRDefault="00912DAC">
      <w:pPr>
        <w:pStyle w:val="LO-normal"/>
        <w:rPr>
          <w:lang/>
        </w:rPr>
      </w:pPr>
    </w:p>
    <w:p w14:paraId="50B71B87" w14:textId="77777777" w:rsidR="00912DAC" w:rsidRPr="00304ADC" w:rsidRDefault="00912DAC">
      <w:pPr>
        <w:pStyle w:val="LO-normal"/>
        <w:rPr>
          <w:lang/>
        </w:rPr>
      </w:pPr>
    </w:p>
    <w:p w14:paraId="1BA7EDC6" w14:textId="77777777" w:rsidR="00912DAC" w:rsidRPr="00304ADC" w:rsidRDefault="00912DAC">
      <w:pPr>
        <w:pStyle w:val="LO-normal"/>
        <w:rPr>
          <w:lang/>
        </w:rPr>
      </w:pPr>
    </w:p>
    <w:p w14:paraId="145995B5" w14:textId="77777777" w:rsidR="00912DAC" w:rsidRPr="00304ADC" w:rsidRDefault="00912DAC">
      <w:pPr>
        <w:pStyle w:val="LO-normal"/>
        <w:rPr>
          <w:u w:val="single"/>
          <w:lang/>
        </w:rPr>
      </w:pPr>
    </w:p>
    <w:p w14:paraId="4BD0ECE3" w14:textId="77777777" w:rsidR="00912DAC" w:rsidRPr="00304ADC" w:rsidRDefault="00912DAC">
      <w:pPr>
        <w:pStyle w:val="LO-normal"/>
        <w:rPr>
          <w:lang/>
        </w:rPr>
      </w:pPr>
    </w:p>
    <w:sectPr w:rsidR="00912DAC" w:rsidRPr="00304ADC">
      <w:pgSz w:w="16838" w:h="11906" w:orient="landscape"/>
      <w:pgMar w:top="360" w:right="1418" w:bottom="1418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AC"/>
    <w:rsid w:val="00304ADC"/>
    <w:rsid w:val="009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54EA"/>
  <w15:docId w15:val="{441B355D-3ABF-4301-9B0F-6F3D804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lang w:bidi="ar-SA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  <w:outlineLvl w:val="9"/>
    </w:pPr>
    <w:rPr>
      <w:rFonts w:ascii="Liberation Sans" w:eastAsia="Noto Sans CJK JP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  <w:outlineLvl w:val="9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Index">
    <w:name w:val="Index"/>
    <w:basedOn w:val="a"/>
    <w:qFormat/>
    <w:pPr>
      <w:suppressLineNumbers/>
      <w:outlineLvl w:val="9"/>
    </w:pPr>
    <w:rPr>
      <w:lang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  <w:pPr>
      <w:outlineLvl w:val="9"/>
    </w:pPr>
  </w:style>
  <w:style w:type="paragraph" w:styleId="a7">
    <w:name w:val="header"/>
    <w:basedOn w:val="LO-normal"/>
    <w:qFormat/>
    <w:pPr>
      <w:tabs>
        <w:tab w:val="center" w:pos="4536"/>
        <w:tab w:val="right" w:pos="9072"/>
      </w:tabs>
      <w:spacing w:line="1" w:lineRule="atLeast"/>
      <w:textAlignment w:val="top"/>
      <w:outlineLvl w:val="0"/>
    </w:pPr>
    <w:rPr>
      <w:color w:val="000000"/>
      <w:lang w:val="en-GB" w:eastAsia="en-US" w:bidi="ar-SA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lang w:eastAsia="en-US" w:bidi="ar-SA"/>
    </w:r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orizontalLine">
    <w:name w:val="Horizontal Line"/>
    <w:basedOn w:val="a"/>
    <w:next w:val="a3"/>
    <w:qFormat/>
    <w:pPr>
      <w:suppressLineNumbers/>
      <w:pBdr>
        <w:bottom w:val="double" w:sz="2" w:space="0" w:color="808080"/>
      </w:pBdr>
      <w:spacing w:after="283"/>
      <w:outlineLvl w:val="9"/>
    </w:pPr>
    <w:rPr>
      <w:sz w:val="12"/>
      <w:szCs w:val="1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TableNormal0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oLsD/oSSKJKbjpoPXlWOEQF2AA==">AMUW2mWJkIGXUiSa0661nr4bSmKa92wyFAr1FNlr8RJjp3RiAeqS5mdnXVQow/wQ3EQsk4VavivdIeBuls09yc6UOt06g644nCBNYIBz19bNHIPh8PzQTGk=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Marselica</dc:creator>
  <dc:description/>
  <cp:lastModifiedBy>Korisnik</cp:lastModifiedBy>
  <cp:revision>2</cp:revision>
  <dcterms:created xsi:type="dcterms:W3CDTF">2022-03-09T22:49:00Z</dcterms:created>
  <dcterms:modified xsi:type="dcterms:W3CDTF">2022-03-09T22:49:00Z</dcterms:modified>
  <dc:language>en-US</dc:language>
</cp:coreProperties>
</file>